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ab/>
        <w:tab/>
        <w:tab/>
        <w:t xml:space="preserve">          </w:t>
        <w:tab/>
      </w:r>
      <w:r w:rsidDel="00000000" w:rsidR="00000000" w:rsidRPr="00000000">
        <w:drawing>
          <wp:inline distB="0" distT="0" distL="0" distR="0">
            <wp:extent cx="2657919" cy="620737"/>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657919" cy="620737"/>
                    </a:xfrm>
                    <a:prstGeom prst="rect"/>
                    <a:ln/>
                  </pic:spPr>
                </pic:pic>
              </a:graphicData>
            </a:graphic>
          </wp:inline>
        </w:drawing>
      </w:r>
      <w:r w:rsidDel="00000000" w:rsidR="00000000" w:rsidRPr="00000000">
        <w:rPr>
          <w:rFonts w:ascii="Calibri" w:cs="Calibri" w:eastAsia="Calibri" w:hAnsi="Calibri"/>
          <w:b w:val="0"/>
          <w:sz w:val="24"/>
          <w:szCs w:val="24"/>
          <w:rtl w:val="0"/>
        </w:rPr>
        <w:tab/>
        <w:tab/>
        <w:tab/>
        <w:tab/>
        <w:tab/>
        <w:tab/>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6480" w:firstLine="0"/>
        <w:contextualSpacing w:val="0"/>
      </w:pPr>
      <w:r w:rsidDel="00000000" w:rsidR="00000000" w:rsidRPr="00000000">
        <w:rPr>
          <w:rFonts w:ascii="Arial" w:cs="Arial" w:eastAsia="Arial" w:hAnsi="Arial"/>
          <w:b w:val="1"/>
          <w:sz w:val="24"/>
          <w:szCs w:val="24"/>
          <w:u w:val="single"/>
          <w:rtl w:val="0"/>
        </w:rPr>
        <w:t xml:space="preserve">Course Descriptor</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ab/>
        <w:tab/>
        <w:tab/>
        <w:tab/>
        <w:tab/>
        <w:tab/>
        <w:tab/>
        <w:tab/>
        <w:tab/>
      </w:r>
      <w:r w:rsidDel="00000000" w:rsidR="00000000" w:rsidRPr="00000000">
        <w:rPr>
          <w:rFonts w:ascii="Arial" w:cs="Arial" w:eastAsia="Arial" w:hAnsi="Arial"/>
          <w:b w:val="0"/>
          <w:sz w:val="24"/>
          <w:szCs w:val="24"/>
          <w:rtl w:val="0"/>
        </w:rPr>
        <w:t xml:space="preserve">Social Studies</w:t>
        <w:tab/>
        <w:tab/>
        <w:tab/>
        <w:tab/>
        <w:tab/>
        <w:tab/>
        <w:tab/>
        <w:tab/>
      </w:r>
      <w:r w:rsidDel="00000000" w:rsidR="00000000" w:rsidRPr="00000000">
        <w:rPr>
          <w:rFonts w:ascii="Arial" w:cs="Arial" w:eastAsia="Arial" w:hAnsi="Arial"/>
          <w:b w:val="1"/>
          <w:sz w:val="24"/>
          <w:szCs w:val="24"/>
          <w:rtl w:val="0"/>
        </w:rPr>
        <w:tab/>
        <w:tab/>
        <w:tab/>
        <w:t xml:space="preserve">Grade 8</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4"/>
          <w:szCs w:val="24"/>
          <w:rtl w:val="0"/>
        </w:rPr>
        <w:tab/>
        <w:tab/>
        <w:tab/>
        <w:tab/>
        <w:tab/>
        <w:tab/>
        <w:tab/>
        <w:tab/>
        <w:tab/>
        <w:t xml:space="preserve">September  2016</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Level of Instruction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4"/>
          <w:szCs w:val="24"/>
          <w:rtl w:val="0"/>
        </w:rPr>
        <w:t xml:space="preserve">Intermediate</w:t>
        <w:tab/>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Curriculum Overview:</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rtl w:val="0"/>
        </w:rPr>
        <w:t xml:space="preserve">At the Intermediate Level, the Social Studies Program uses an interdisciplinary approach and specific topics are organized thematically and chronologically when appropriate. Specific topics deal with real-life issues and respond to the students’ need for relevance. It requires young adolescents to examine their value systems in light of the expectations of their society, and deals specifically with rights and responsibilities with respect to the individual, community and the natural environment. It includes the use of case studies, role models, current events, technology and hands on activities designed to meet diverse students’ needs, interests and abilities.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rtl w:val="0"/>
        </w:rPr>
        <w:t xml:space="preserve">The organizing concept for the Grade 8 curriculum is “history as a story of the past in the present”. The curriculum examines various themes related to the history of Newfoundland and Labrador – history as a lens to the past, history as a story of people, history as a story of events, and history as a story of change. The course introduces students to the study of the history of the province from the turn of the 19th century to the present. It traces the province’s political evolution and development, colony-to-country to- province, and asks students to: explore and appreciate history as part of their community, region and province; examine social change; and assess the impact of the past on the present.</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Curriculum Documents </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b w:val="0"/>
          <w:color w:val="000000"/>
          <w:sz w:val="24"/>
          <w:szCs w:val="24"/>
          <w:rtl w:val="0"/>
        </w:rPr>
        <w:t xml:space="preserve"> </w:t>
      </w:r>
      <w:r w:rsidDel="00000000" w:rsidR="00000000" w:rsidRPr="00000000">
        <w:rPr>
          <w:rtl w:val="0"/>
        </w:rPr>
      </w:r>
    </w:p>
    <w:p w:rsidR="00000000" w:rsidDel="00000000" w:rsidP="00000000" w:rsidRDefault="00000000" w:rsidRPr="00000000">
      <w:pPr>
        <w:numPr>
          <w:ilvl w:val="0"/>
          <w:numId w:val="2"/>
        </w:numPr>
        <w:spacing w:after="0" w:before="0" w:line="240" w:lineRule="auto"/>
        <w:ind w:left="420" w:hanging="360"/>
        <w:rPr>
          <w:sz w:val="24"/>
          <w:szCs w:val="24"/>
        </w:rPr>
      </w:pPr>
      <w:r w:rsidDel="00000000" w:rsidR="00000000" w:rsidRPr="00000000">
        <w:rPr>
          <w:rFonts w:ascii="Arial" w:cs="Arial" w:eastAsia="Arial" w:hAnsi="Arial"/>
          <w:b w:val="0"/>
          <w:color w:val="000000"/>
          <w:sz w:val="24"/>
          <w:szCs w:val="24"/>
          <w:rtl w:val="0"/>
        </w:rPr>
        <w:t xml:space="preserve">Foundation for the Atlantic Canada Social Studies Curriculum (1996) </w:t>
      </w:r>
      <w:r w:rsidDel="00000000" w:rsidR="00000000" w:rsidRPr="00000000">
        <w:rPr>
          <w:rtl w:val="0"/>
        </w:rPr>
      </w:r>
    </w:p>
    <w:p w:rsidR="00000000" w:rsidDel="00000000" w:rsidP="00000000" w:rsidRDefault="00000000" w:rsidRPr="00000000">
      <w:pPr>
        <w:numPr>
          <w:ilvl w:val="0"/>
          <w:numId w:val="2"/>
        </w:numPr>
        <w:spacing w:after="0" w:before="0" w:line="240" w:lineRule="auto"/>
        <w:ind w:left="420" w:hanging="360"/>
        <w:rPr>
          <w:b w:val="0"/>
          <w:color w:val="000000"/>
          <w:sz w:val="24"/>
          <w:szCs w:val="24"/>
        </w:rPr>
      </w:pPr>
      <w:r w:rsidDel="00000000" w:rsidR="00000000" w:rsidRPr="00000000">
        <w:rPr>
          <w:rFonts w:ascii="Arial" w:cs="Arial" w:eastAsia="Arial" w:hAnsi="Arial"/>
          <w:b w:val="0"/>
          <w:color w:val="000000"/>
          <w:sz w:val="24"/>
          <w:szCs w:val="24"/>
          <w:rtl w:val="0"/>
        </w:rPr>
        <w:t xml:space="preserve">Newfoundland and Labrador History: A Curriculum Guide (2005, Interim Edition)</w:t>
      </w:r>
    </w:p>
    <w:p w:rsidR="00000000" w:rsidDel="00000000" w:rsidP="00000000" w:rsidRDefault="00000000" w:rsidRPr="00000000">
      <w:pPr>
        <w:spacing w:after="37"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firstLine="60"/>
        <w:contextualSpacing w:val="0"/>
      </w:pPr>
      <w:r w:rsidDel="00000000" w:rsidR="00000000" w:rsidRPr="00000000">
        <w:rPr>
          <w:rtl w:val="0"/>
        </w:rPr>
      </w:r>
    </w:p>
    <w:p w:rsidR="00000000" w:rsidDel="00000000" w:rsidP="00000000" w:rsidRDefault="00000000" w:rsidRPr="00000000">
      <w:pPr>
        <w:spacing w:after="0" w:before="0" w:line="240" w:lineRule="auto"/>
        <w:ind w:firstLine="60"/>
        <w:contextualSpacing w:val="0"/>
      </w:pPr>
      <w:r w:rsidDel="00000000" w:rsidR="00000000" w:rsidRPr="00000000">
        <w:rPr>
          <w:rtl w:val="0"/>
        </w:rPr>
      </w:r>
    </w:p>
    <w:p w:rsidR="00000000" w:rsidDel="00000000" w:rsidP="00000000" w:rsidRDefault="00000000" w:rsidRPr="00000000">
      <w:pPr>
        <w:spacing w:after="0" w:before="0" w:line="240" w:lineRule="auto"/>
        <w:ind w:firstLine="6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Authorized Resources </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pPr>
        <w:numPr>
          <w:ilvl w:val="0"/>
          <w:numId w:val="2"/>
        </w:numPr>
        <w:spacing w:after="0" w:before="0" w:line="240" w:lineRule="auto"/>
        <w:ind w:left="420" w:hanging="360"/>
        <w:rPr>
          <w:b w:val="0"/>
          <w:color w:val="000000"/>
          <w:sz w:val="24"/>
          <w:szCs w:val="24"/>
        </w:rPr>
      </w:pPr>
      <w:r w:rsidDel="00000000" w:rsidR="00000000" w:rsidRPr="00000000">
        <w:rPr>
          <w:rFonts w:ascii="Arial" w:cs="Arial" w:eastAsia="Arial" w:hAnsi="Arial"/>
          <w:b w:val="0"/>
          <w:color w:val="000000"/>
          <w:sz w:val="24"/>
          <w:szCs w:val="24"/>
          <w:rtl w:val="0"/>
        </w:rPr>
        <w:t xml:space="preserve">Voyage to Discovery: History of Newfoundland and Labrador </w:t>
      </w:r>
    </w:p>
    <w:p w:rsidR="00000000" w:rsidDel="00000000" w:rsidP="00000000" w:rsidRDefault="00000000" w:rsidRPr="00000000">
      <w:pPr>
        <w:spacing w:after="0" w:before="0" w:line="240" w:lineRule="auto"/>
        <w:ind w:firstLine="420"/>
        <w:contextualSpacing w:val="0"/>
      </w:pPr>
      <w:r w:rsidDel="00000000" w:rsidR="00000000" w:rsidRPr="00000000">
        <w:rPr>
          <w:rFonts w:ascii="Arial" w:cs="Arial" w:eastAsia="Arial" w:hAnsi="Arial"/>
          <w:b w:val="0"/>
          <w:color w:val="000000"/>
          <w:sz w:val="24"/>
          <w:szCs w:val="24"/>
          <w:rtl w:val="0"/>
        </w:rPr>
        <w:t xml:space="preserve">1800-Present (2005, with teacher’s resource) </w:t>
      </w:r>
    </w:p>
    <w:p w:rsidR="00000000" w:rsidDel="00000000" w:rsidP="00000000" w:rsidRDefault="00000000" w:rsidRPr="00000000">
      <w:pPr>
        <w:numPr>
          <w:ilvl w:val="0"/>
          <w:numId w:val="2"/>
        </w:numPr>
        <w:spacing w:after="0" w:before="0" w:line="240" w:lineRule="auto"/>
        <w:ind w:left="420" w:hanging="360"/>
        <w:rPr>
          <w:b w:val="0"/>
          <w:color w:val="000000"/>
          <w:sz w:val="24"/>
          <w:szCs w:val="24"/>
        </w:rPr>
      </w:pPr>
      <w:r w:rsidDel="00000000" w:rsidR="00000000" w:rsidRPr="00000000">
        <w:rPr>
          <w:rFonts w:ascii="Arial" w:cs="Arial" w:eastAsia="Arial" w:hAnsi="Arial"/>
          <w:b w:val="0"/>
          <w:color w:val="000000"/>
          <w:sz w:val="24"/>
          <w:szCs w:val="24"/>
          <w:rtl w:val="0"/>
        </w:rPr>
        <w:t xml:space="preserve">The Log of Bob Bartlett (2006)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4"/>
          <w:szCs w:val="24"/>
          <w:rtl w:val="0"/>
        </w:rPr>
        <w:t xml:space="preserve">Themes: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Fonts w:ascii="Arial" w:cs="Arial" w:eastAsia="Arial" w:hAnsi="Arial"/>
          <w:b w:val="0"/>
          <w:color w:val="000000"/>
          <w:sz w:val="24"/>
          <w:szCs w:val="24"/>
          <w:rtl w:val="0"/>
        </w:rPr>
        <w:t xml:space="preserve">Unit 1: Introduction: History as a Lens to the Past </w:t>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Arial" w:cs="Arial" w:eastAsia="Arial" w:hAnsi="Arial"/>
          <w:b w:val="0"/>
          <w:color w:val="000000"/>
          <w:sz w:val="24"/>
          <w:szCs w:val="24"/>
          <w:rtl w:val="0"/>
        </w:rPr>
        <w:t xml:space="preserve">Unit 2: Newfoundland and Labrador from the Turn of the 19th Century through the Early 20th Century: History as a Story of People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Arial" w:cs="Arial" w:eastAsia="Arial" w:hAnsi="Arial"/>
          <w:b w:val="0"/>
          <w:color w:val="000000"/>
          <w:sz w:val="24"/>
          <w:szCs w:val="24"/>
          <w:rtl w:val="0"/>
        </w:rPr>
        <w:t xml:space="preserve">Unit 3: Newfoundland and Labrador from 1914 through 1949: History as a Story of Significant Events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Arial" w:cs="Arial" w:eastAsia="Arial" w:hAnsi="Arial"/>
          <w:b w:val="0"/>
          <w:color w:val="000000"/>
          <w:sz w:val="24"/>
          <w:szCs w:val="24"/>
          <w:rtl w:val="0"/>
        </w:rPr>
        <w:t xml:space="preserve">Unit 4: Newfoundland and Labrador through the 2nd Half of the 20th Century: History as a Story of Change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Fonts w:ascii="Arial" w:cs="Arial" w:eastAsia="Arial" w:hAnsi="Arial"/>
          <w:b w:val="0"/>
          <w:sz w:val="24"/>
          <w:szCs w:val="24"/>
          <w:rtl w:val="0"/>
        </w:rPr>
        <w:t xml:space="preserve">Unit 5: History as a Story of the Past in the Present</w:t>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Assessment (Assessment and Evaluation Policy)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4"/>
          <w:szCs w:val="24"/>
          <w:rtl w:val="0"/>
        </w:rPr>
        <w:t xml:space="preserve">Assessment in this course is governed by the Assessment and Evaluation Policy of the former</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4"/>
          <w:szCs w:val="24"/>
          <w:rtl w:val="0"/>
        </w:rPr>
        <w:t xml:space="preserve">Eastern School District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hyperlink r:id="rId6">
        <w:r w:rsidDel="00000000" w:rsidR="00000000" w:rsidRPr="00000000">
          <w:rPr>
            <w:rFonts w:ascii="Arial" w:cs="Arial" w:eastAsia="Arial" w:hAnsi="Arial"/>
            <w:b w:val="0"/>
            <w:color w:val="0000ff"/>
            <w:sz w:val="24"/>
            <w:szCs w:val="24"/>
            <w:u w:val="single"/>
            <w:rtl w:val="0"/>
          </w:rPr>
          <w:t xml:space="preserve">http://www.esdnl.ca/about/policies/esd/I_IL.pdf</w:t>
        </w:r>
      </w:hyperlink>
      <w:r w:rsidDel="00000000" w:rsidR="00000000" w:rsidRPr="00000000">
        <w:rPr>
          <w:rFonts w:ascii="Arial" w:cs="Arial" w:eastAsia="Arial" w:hAnsi="Arial"/>
          <w:b w:val="0"/>
          <w:color w:val="000000"/>
          <w:sz w:val="24"/>
          <w:szCs w:val="24"/>
          <w:rtl w:val="0"/>
        </w:rPr>
        <w:t xml:space="preserve">.</w:t>
      </w:r>
    </w:p>
    <w:p w:rsidR="00000000" w:rsidDel="00000000" w:rsidP="00000000" w:rsidRDefault="00000000" w:rsidRPr="00000000">
      <w:pPr>
        <w:spacing w:after="0" w:before="0" w:line="240" w:lineRule="auto"/>
        <w:contextualSpacing w:val="0"/>
      </w:pPr>
      <w:hyperlink r:id="rId7">
        <w:r w:rsidDel="00000000" w:rsidR="00000000" w:rsidRPr="00000000">
          <w:rPr>
            <w:rFonts w:ascii="Arial" w:cs="Arial" w:eastAsia="Arial" w:hAnsi="Arial"/>
            <w:b w:val="0"/>
            <w:color w:val="0000ff"/>
            <w:sz w:val="24"/>
            <w:szCs w:val="24"/>
            <w:u w:val="single"/>
            <w:rtl w:val="0"/>
          </w:rPr>
          <w:t xml:space="preserve">http://www.esdnl.ca/aboutesd/policies/regulations.jsp?cat=I&amp;code=IL</w:t>
        </w:r>
      </w:hyperlink>
      <w:hyperlink r:id="rId8">
        <w:r w:rsidDel="00000000" w:rsidR="00000000" w:rsidRPr="00000000">
          <w:rPr>
            <w:rtl w:val="0"/>
          </w:rPr>
        </w:r>
      </w:hyperlink>
    </w:p>
    <w:p w:rsidR="00000000" w:rsidDel="00000000" w:rsidP="00000000" w:rsidRDefault="00000000" w:rsidRPr="00000000">
      <w:pPr>
        <w:spacing w:after="0" w:before="0" w:line="240" w:lineRule="auto"/>
        <w:contextualSpacing w:val="0"/>
      </w:pPr>
      <w:hyperlink r:id="rId9">
        <w:r w:rsidDel="00000000" w:rsidR="00000000" w:rsidRPr="00000000">
          <w:rPr>
            <w:rtl w:val="0"/>
          </w:rPr>
        </w:r>
      </w:hyperlink>
    </w:p>
    <w:p w:rsidR="00000000" w:rsidDel="00000000" w:rsidP="00000000" w:rsidRDefault="00000000" w:rsidRPr="00000000">
      <w:pPr>
        <w:spacing w:after="0" w:before="0" w:line="240" w:lineRule="auto"/>
        <w:contextualSpacing w:val="0"/>
      </w:pPr>
      <w:hyperlink r:id="rId10">
        <w:r w:rsidDel="00000000" w:rsidR="00000000" w:rsidRPr="00000000">
          <w:rPr>
            <w:rtl w:val="0"/>
          </w:rPr>
        </w:r>
      </w:hyperlink>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Note: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All evidence of learning shall be considered when determining a student’s final grade. Averaging shall not be used as a sole indicator of a student’s level of attainment of the course outcomes.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Homework and student behavior (except where specified in Provincial documents) shall not be given a value for assessment.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To ensure student achievement of the outcomes, teachers are expected to use a variety of assessments from the following internal data sources:</w:t>
      </w:r>
    </w:p>
    <w:p w:rsidR="00000000" w:rsidDel="00000000" w:rsidP="00000000" w:rsidRDefault="00000000" w:rsidRPr="00000000">
      <w:pPr>
        <w:numPr>
          <w:ilvl w:val="0"/>
          <w:numId w:val="1"/>
        </w:numPr>
        <w:spacing w:after="0" w:before="0" w:line="240" w:lineRule="auto"/>
        <w:ind w:left="1080" w:hanging="360"/>
        <w:rPr>
          <w:b w:val="0"/>
          <w:sz w:val="24"/>
          <w:szCs w:val="24"/>
        </w:rPr>
      </w:pPr>
      <w:r w:rsidDel="00000000" w:rsidR="00000000" w:rsidRPr="00000000">
        <w:rPr>
          <w:rFonts w:ascii="Arial" w:cs="Arial" w:eastAsia="Arial" w:hAnsi="Arial"/>
          <w:b w:val="0"/>
          <w:sz w:val="24"/>
          <w:szCs w:val="24"/>
          <w:rtl w:val="0"/>
        </w:rPr>
        <w:t xml:space="preserve">Formal and informal observations (anecdotal records, checklists, etc.)</w:t>
      </w:r>
    </w:p>
    <w:p w:rsidR="00000000" w:rsidDel="00000000" w:rsidP="00000000" w:rsidRDefault="00000000" w:rsidRPr="00000000">
      <w:pPr>
        <w:numPr>
          <w:ilvl w:val="0"/>
          <w:numId w:val="1"/>
        </w:numPr>
        <w:spacing w:after="0" w:before="0" w:line="240" w:lineRule="auto"/>
        <w:ind w:left="1080" w:hanging="360"/>
        <w:rPr>
          <w:b w:val="0"/>
          <w:sz w:val="24"/>
          <w:szCs w:val="24"/>
        </w:rPr>
      </w:pPr>
      <w:r w:rsidDel="00000000" w:rsidR="00000000" w:rsidRPr="00000000">
        <w:rPr>
          <w:rFonts w:ascii="Arial" w:cs="Arial" w:eastAsia="Arial" w:hAnsi="Arial"/>
          <w:b w:val="0"/>
          <w:sz w:val="24"/>
          <w:szCs w:val="24"/>
          <w:rtl w:val="0"/>
        </w:rPr>
        <w:t xml:space="preserve">Written responses (learning logs, journals, blogs, etc.)</w:t>
      </w:r>
    </w:p>
    <w:p w:rsidR="00000000" w:rsidDel="00000000" w:rsidP="00000000" w:rsidRDefault="00000000" w:rsidRPr="00000000">
      <w:pPr>
        <w:numPr>
          <w:ilvl w:val="0"/>
          <w:numId w:val="1"/>
        </w:numPr>
        <w:spacing w:after="0" w:before="0" w:line="240" w:lineRule="auto"/>
        <w:ind w:left="1080" w:hanging="360"/>
        <w:rPr>
          <w:b w:val="0"/>
          <w:sz w:val="24"/>
          <w:szCs w:val="24"/>
        </w:rPr>
      </w:pPr>
      <w:r w:rsidDel="00000000" w:rsidR="00000000" w:rsidRPr="00000000">
        <w:rPr>
          <w:rFonts w:ascii="Arial" w:cs="Arial" w:eastAsia="Arial" w:hAnsi="Arial"/>
          <w:b w:val="0"/>
          <w:sz w:val="24"/>
          <w:szCs w:val="24"/>
          <w:rtl w:val="0"/>
        </w:rPr>
        <w:t xml:space="preserve">Projects (long and short term)</w:t>
      </w:r>
    </w:p>
    <w:p w:rsidR="00000000" w:rsidDel="00000000" w:rsidP="00000000" w:rsidRDefault="00000000" w:rsidRPr="00000000">
      <w:pPr>
        <w:numPr>
          <w:ilvl w:val="0"/>
          <w:numId w:val="1"/>
        </w:numPr>
        <w:spacing w:after="0" w:before="0" w:line="240" w:lineRule="auto"/>
        <w:ind w:left="1080" w:hanging="360"/>
        <w:rPr>
          <w:b w:val="0"/>
          <w:sz w:val="24"/>
          <w:szCs w:val="24"/>
        </w:rPr>
      </w:pPr>
      <w:r w:rsidDel="00000000" w:rsidR="00000000" w:rsidRPr="00000000">
        <w:rPr>
          <w:rFonts w:ascii="Arial" w:cs="Arial" w:eastAsia="Arial" w:hAnsi="Arial"/>
          <w:b w:val="0"/>
          <w:sz w:val="24"/>
          <w:szCs w:val="24"/>
          <w:rtl w:val="0"/>
        </w:rPr>
        <w:t xml:space="preserve">Research (brochures, flyers, posters, essays, graphic organizers)</w:t>
      </w:r>
    </w:p>
    <w:p w:rsidR="00000000" w:rsidDel="00000000" w:rsidP="00000000" w:rsidRDefault="00000000" w:rsidRPr="00000000">
      <w:pPr>
        <w:numPr>
          <w:ilvl w:val="0"/>
          <w:numId w:val="1"/>
        </w:numPr>
        <w:spacing w:after="0" w:before="0" w:line="240" w:lineRule="auto"/>
        <w:ind w:left="1080" w:hanging="360"/>
        <w:rPr>
          <w:b w:val="0"/>
          <w:sz w:val="24"/>
          <w:szCs w:val="24"/>
        </w:rPr>
      </w:pPr>
      <w:r w:rsidDel="00000000" w:rsidR="00000000" w:rsidRPr="00000000">
        <w:rPr>
          <w:rFonts w:ascii="Arial" w:cs="Arial" w:eastAsia="Arial" w:hAnsi="Arial"/>
          <w:b w:val="0"/>
          <w:sz w:val="24"/>
          <w:szCs w:val="24"/>
          <w:rtl w:val="0"/>
        </w:rPr>
        <w:t xml:space="preserve">Student presentations (seminars, speeches, debates, discussions)</w:t>
      </w:r>
    </w:p>
    <w:p w:rsidR="00000000" w:rsidDel="00000000" w:rsidP="00000000" w:rsidRDefault="00000000" w:rsidRPr="00000000">
      <w:pPr>
        <w:numPr>
          <w:ilvl w:val="0"/>
          <w:numId w:val="1"/>
        </w:numPr>
        <w:spacing w:after="0" w:before="0" w:line="240" w:lineRule="auto"/>
        <w:ind w:left="1080" w:hanging="360"/>
        <w:rPr>
          <w:b w:val="0"/>
          <w:sz w:val="24"/>
          <w:szCs w:val="24"/>
        </w:rPr>
      </w:pPr>
      <w:r w:rsidDel="00000000" w:rsidR="00000000" w:rsidRPr="00000000">
        <w:rPr>
          <w:rFonts w:ascii="Arial" w:cs="Arial" w:eastAsia="Arial" w:hAnsi="Arial"/>
          <w:b w:val="0"/>
          <w:sz w:val="24"/>
          <w:szCs w:val="24"/>
          <w:rtl w:val="0"/>
        </w:rPr>
        <w:t xml:space="preserve">Peer assessments</w:t>
      </w:r>
    </w:p>
    <w:p w:rsidR="00000000" w:rsidDel="00000000" w:rsidP="00000000" w:rsidRDefault="00000000" w:rsidRPr="00000000">
      <w:pPr>
        <w:numPr>
          <w:ilvl w:val="0"/>
          <w:numId w:val="1"/>
        </w:numPr>
        <w:spacing w:after="0" w:before="0" w:line="240" w:lineRule="auto"/>
        <w:ind w:left="1080" w:hanging="360"/>
        <w:rPr>
          <w:b w:val="0"/>
          <w:sz w:val="24"/>
          <w:szCs w:val="24"/>
        </w:rPr>
      </w:pPr>
      <w:r w:rsidDel="00000000" w:rsidR="00000000" w:rsidRPr="00000000">
        <w:rPr>
          <w:rFonts w:ascii="Arial" w:cs="Arial" w:eastAsia="Arial" w:hAnsi="Arial"/>
          <w:b w:val="0"/>
          <w:sz w:val="24"/>
          <w:szCs w:val="24"/>
          <w:rtl w:val="0"/>
        </w:rPr>
        <w:t xml:space="preserve">Self-assessments (exit and entrance cards, learning inventories, yes/no activities, learning contracts)</w:t>
      </w:r>
    </w:p>
    <w:p w:rsidR="00000000" w:rsidDel="00000000" w:rsidP="00000000" w:rsidRDefault="00000000" w:rsidRPr="00000000">
      <w:pPr>
        <w:numPr>
          <w:ilvl w:val="0"/>
          <w:numId w:val="1"/>
        </w:numPr>
        <w:spacing w:after="0" w:before="0" w:line="240" w:lineRule="auto"/>
        <w:ind w:left="1080" w:hanging="360"/>
        <w:rPr>
          <w:b w:val="0"/>
          <w:sz w:val="24"/>
          <w:szCs w:val="24"/>
        </w:rPr>
      </w:pPr>
      <w:r w:rsidDel="00000000" w:rsidR="00000000" w:rsidRPr="00000000">
        <w:rPr>
          <w:rFonts w:ascii="Arial" w:cs="Arial" w:eastAsia="Arial" w:hAnsi="Arial"/>
          <w:b w:val="0"/>
          <w:sz w:val="24"/>
          <w:szCs w:val="24"/>
          <w:rtl w:val="0"/>
        </w:rPr>
        <w:t xml:space="preserve">Conferencing (questioning, ongoing records, checklists, etc.)</w:t>
      </w:r>
    </w:p>
    <w:p w:rsidR="00000000" w:rsidDel="00000000" w:rsidP="00000000" w:rsidRDefault="00000000" w:rsidRPr="00000000">
      <w:pPr>
        <w:numPr>
          <w:ilvl w:val="0"/>
          <w:numId w:val="1"/>
        </w:numPr>
        <w:spacing w:after="0" w:before="0" w:line="240" w:lineRule="auto"/>
        <w:ind w:left="1080" w:hanging="360"/>
        <w:rPr>
          <w:b w:val="0"/>
          <w:sz w:val="24"/>
          <w:szCs w:val="24"/>
        </w:rPr>
      </w:pPr>
      <w:r w:rsidDel="00000000" w:rsidR="00000000" w:rsidRPr="00000000">
        <w:rPr>
          <w:rFonts w:ascii="Arial" w:cs="Arial" w:eastAsia="Arial" w:hAnsi="Arial"/>
          <w:b w:val="0"/>
          <w:sz w:val="24"/>
          <w:szCs w:val="24"/>
          <w:rtl w:val="0"/>
        </w:rPr>
        <w:t xml:space="preserve">Digital evidence (web page, blog, PowerPoint, Prezi, interactive </w:t>
      </w:r>
      <w:r w:rsidDel="00000000" w:rsidR="00000000" w:rsidRPr="00000000">
        <w:rPr>
          <w:rFonts w:ascii="Arial" w:cs="Arial" w:eastAsia="Arial" w:hAnsi="Arial"/>
          <w:sz w:val="24"/>
          <w:szCs w:val="24"/>
          <w:rtl w:val="0"/>
        </w:rPr>
        <w:t xml:space="preserve">whiteboard</w:t>
      </w:r>
      <w:r w:rsidDel="00000000" w:rsidR="00000000" w:rsidRPr="00000000">
        <w:rPr>
          <w:rFonts w:ascii="Arial" w:cs="Arial" w:eastAsia="Arial" w:hAnsi="Arial"/>
          <w:b w:val="0"/>
          <w:sz w:val="24"/>
          <w:szCs w:val="24"/>
          <w:rtl w:val="0"/>
        </w:rPr>
        <w:t xml:space="preserve">)</w:t>
      </w:r>
    </w:p>
    <w:p w:rsidR="00000000" w:rsidDel="00000000" w:rsidP="00000000" w:rsidRDefault="00000000" w:rsidRPr="00000000">
      <w:pPr>
        <w:numPr>
          <w:ilvl w:val="0"/>
          <w:numId w:val="1"/>
        </w:numPr>
        <w:spacing w:after="0" w:before="0" w:line="240" w:lineRule="auto"/>
        <w:ind w:left="1080" w:hanging="360"/>
        <w:rPr>
          <w:b w:val="0"/>
          <w:sz w:val="24"/>
          <w:szCs w:val="24"/>
        </w:rPr>
      </w:pPr>
      <w:r w:rsidDel="00000000" w:rsidR="00000000" w:rsidRPr="00000000">
        <w:rPr>
          <w:rFonts w:ascii="Arial" w:cs="Arial" w:eastAsia="Arial" w:hAnsi="Arial"/>
          <w:b w:val="0"/>
          <w:sz w:val="24"/>
          <w:szCs w:val="24"/>
          <w:rtl w:val="0"/>
        </w:rPr>
        <w:t xml:space="preserve">Portfolios</w:t>
      </w:r>
    </w:p>
    <w:p w:rsidR="00000000" w:rsidDel="00000000" w:rsidP="00000000" w:rsidRDefault="00000000" w:rsidRPr="00000000">
      <w:pPr>
        <w:numPr>
          <w:ilvl w:val="0"/>
          <w:numId w:val="1"/>
        </w:numPr>
        <w:spacing w:after="0" w:before="0" w:line="240" w:lineRule="auto"/>
        <w:ind w:left="1080" w:hanging="360"/>
        <w:rPr>
          <w:b w:val="0"/>
          <w:sz w:val="24"/>
          <w:szCs w:val="24"/>
        </w:rPr>
      </w:pPr>
      <w:r w:rsidDel="00000000" w:rsidR="00000000" w:rsidRPr="00000000">
        <w:rPr>
          <w:rFonts w:ascii="Arial" w:cs="Arial" w:eastAsia="Arial" w:hAnsi="Arial"/>
          <w:b w:val="0"/>
          <w:sz w:val="24"/>
          <w:szCs w:val="24"/>
          <w:rtl w:val="0"/>
        </w:rPr>
        <w:t xml:space="preserve">Individual and group participation (demonstrations, interviews, questioning, role play, drama)</w:t>
      </w:r>
    </w:p>
    <w:p w:rsidR="00000000" w:rsidDel="00000000" w:rsidP="00000000" w:rsidRDefault="00000000" w:rsidRPr="00000000">
      <w:pPr>
        <w:numPr>
          <w:ilvl w:val="0"/>
          <w:numId w:val="1"/>
        </w:numPr>
        <w:spacing w:after="0" w:before="0" w:line="240" w:lineRule="auto"/>
        <w:ind w:left="1080" w:hanging="360"/>
        <w:rPr>
          <w:b w:val="0"/>
          <w:sz w:val="24"/>
          <w:szCs w:val="24"/>
        </w:rPr>
      </w:pPr>
      <w:r w:rsidDel="00000000" w:rsidR="00000000" w:rsidRPr="00000000">
        <w:rPr>
          <w:rFonts w:ascii="Arial" w:cs="Arial" w:eastAsia="Arial" w:hAnsi="Arial"/>
          <w:b w:val="0"/>
          <w:sz w:val="24"/>
          <w:szCs w:val="24"/>
          <w:rtl w:val="0"/>
        </w:rPr>
        <w:t xml:space="preserve">Work samples (investigations, learning logs, journals, blogs)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Assessment and Evaluation Plan:</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ab/>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rtl w:val="0"/>
        </w:rPr>
        <w:t xml:space="preserve">Performance Assessment: </w:t>
        <w:tab/>
        <w:t xml:space="preserve">60%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4"/>
          <w:szCs w:val="24"/>
          <w:rtl w:val="0"/>
        </w:rPr>
        <w:t xml:space="preserve">Tests/Quizzes: </w:t>
        <w:tab/>
        <w:tab/>
        <w:tab/>
        <w:t xml:space="preserve">40%</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Table of Specifications: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drawing>
          <wp:inline distB="0" distT="0" distL="0" distR="0">
            <wp:extent cx="3785752" cy="2054201"/>
            <wp:effectExtent b="0" l="0" r="0" t="0"/>
            <wp:docPr id="2" name="image03.png"/>
            <a:graphic>
              <a:graphicData uri="http://schemas.openxmlformats.org/drawingml/2006/picture">
                <pic:pic>
                  <pic:nvPicPr>
                    <pic:cNvPr id="0" name="image03.png"/>
                    <pic:cNvPicPr preferRelativeResize="0"/>
                  </pic:nvPicPr>
                  <pic:blipFill>
                    <a:blip r:embed="rId11"/>
                    <a:srcRect b="0" l="0" r="0" t="0"/>
                    <a:stretch>
                      <a:fillRect/>
                    </a:stretch>
                  </pic:blipFill>
                  <pic:spPr>
                    <a:xfrm>
                      <a:off x="0" y="0"/>
                      <a:ext cx="3785752" cy="2054201"/>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24"/>
          <w:szCs w:val="24"/>
          <w:rtl w:val="0"/>
        </w:rPr>
        <w:t xml:space="preserve">** See page 21 in Curriculum Guide for more information about this table. In particular, please note that Unit 5 is developed throughout the course and is not weighted in this table.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Resource Links: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rtl w:val="0"/>
        </w:rPr>
        <w:t xml:space="preserve">Grade 8 Social Studies Curriculum Guide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hyperlink r:id="rId12">
        <w:r w:rsidDel="00000000" w:rsidR="00000000" w:rsidRPr="00000000">
          <w:rPr>
            <w:rFonts w:ascii="Arial" w:cs="Arial" w:eastAsia="Arial" w:hAnsi="Arial"/>
            <w:b w:val="0"/>
            <w:color w:val="0000ff"/>
            <w:sz w:val="24"/>
            <w:szCs w:val="24"/>
            <w:u w:val="single"/>
            <w:rtl w:val="0"/>
          </w:rPr>
          <w:t xml:space="preserve">http://www.ed.gov.nl.ca/edu/k12/curriculum/guides/socialstudies/index.html#gr8</w:t>
        </w:r>
      </w:hyperlink>
      <w:hyperlink r:id="rId13">
        <w:r w:rsidDel="00000000" w:rsidR="00000000" w:rsidRPr="00000000">
          <w:rPr>
            <w:rtl w:val="0"/>
          </w:rPr>
        </w:r>
      </w:hyperlink>
    </w:p>
    <w:p w:rsidR="00000000" w:rsidDel="00000000" w:rsidP="00000000" w:rsidRDefault="00000000" w:rsidRPr="00000000">
      <w:pPr>
        <w:spacing w:after="0" w:before="0" w:line="240" w:lineRule="auto"/>
        <w:contextualSpacing w:val="0"/>
      </w:pPr>
      <w:hyperlink r:id="rId14">
        <w:r w:rsidDel="00000000" w:rsidR="00000000" w:rsidRPr="00000000">
          <w:rPr>
            <w:rtl w:val="0"/>
          </w:rPr>
        </w:r>
      </w:hyperlink>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Professional Learning Site, Department of Education</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4"/>
          <w:szCs w:val="24"/>
          <w:rtl w:val="0"/>
        </w:rPr>
        <w:t xml:space="preserve">N/A</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36" w:line="248.00000000000006" w:lineRule="auto"/>
        <w:ind w:right="630"/>
        <w:contextualSpacing w:val="0"/>
      </w:pPr>
      <w:r w:rsidDel="00000000" w:rsidR="00000000" w:rsidRPr="00000000">
        <w:rPr>
          <w:rFonts w:ascii="Arial" w:cs="Arial" w:eastAsia="Arial" w:hAnsi="Arial"/>
          <w:b w:val="1"/>
          <w:color w:val="000000"/>
          <w:sz w:val="24"/>
          <w:szCs w:val="24"/>
          <w:rtl w:val="0"/>
        </w:rPr>
        <w:t xml:space="preserve">Foundation / Framework Document </w:t>
      </w:r>
    </w:p>
    <w:p w:rsidR="00000000" w:rsidDel="00000000" w:rsidP="00000000" w:rsidRDefault="00000000" w:rsidRPr="00000000">
      <w:pPr>
        <w:widowControl w:val="0"/>
        <w:spacing w:after="0" w:before="36" w:line="248.00000000000006" w:lineRule="auto"/>
        <w:ind w:right="630"/>
        <w:contextualSpacing w:val="0"/>
      </w:pPr>
      <w:bookmarkStart w:colFirst="0" w:colLast="0" w:name="_gjdgxs" w:id="0"/>
      <w:bookmarkEnd w:id="0"/>
      <w:hyperlink r:id="rId15">
        <w:r w:rsidDel="00000000" w:rsidR="00000000" w:rsidRPr="00000000">
          <w:rPr>
            <w:rFonts w:ascii="Arial" w:cs="Arial" w:eastAsia="Arial" w:hAnsi="Arial"/>
            <w:b w:val="1"/>
            <w:color w:val="0000ff"/>
            <w:sz w:val="24"/>
            <w:szCs w:val="24"/>
            <w:u w:val="single"/>
            <w:rtl w:val="0"/>
          </w:rPr>
          <w:t xml:space="preserve">http://www.ed.gov.nl.ca/edu/k12/curriculum/documents/socialstudies/social.pdf</w:t>
        </w:r>
      </w:hyperlink>
      <w:hyperlink r:id="rId16">
        <w:r w:rsidDel="00000000" w:rsidR="00000000" w:rsidRPr="00000000">
          <w:rPr>
            <w:rtl w:val="0"/>
          </w:rPr>
        </w:r>
      </w:hyperlink>
    </w:p>
    <w:p w:rsidR="00000000" w:rsidDel="00000000" w:rsidP="00000000" w:rsidRDefault="00000000" w:rsidRPr="00000000">
      <w:pPr>
        <w:spacing w:after="0" w:before="0" w:line="240" w:lineRule="auto"/>
        <w:contextualSpacing w:val="0"/>
      </w:pPr>
      <w:r w:rsidDel="00000000" w:rsidR="00000000" w:rsidRPr="00000000">
        <w:rPr>
          <w:rtl w:val="0"/>
        </w:rPr>
      </w:r>
    </w:p>
    <w:sectPr>
      <w:footerReference r:id="rId1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jc w:val="center"/>
    </w:pPr>
    <w:r w:rsidDel="00000000" w:rsidR="00000000" w:rsidRPr="00000000">
      <w:rPr>
        <w:rFonts w:ascii="Calibri" w:cs="Calibri" w:eastAsia="Calibri" w:hAnsi="Calibri"/>
        <w:b w:val="0"/>
        <w:sz w:val="22"/>
        <w:szCs w:val="22"/>
        <w:rtl w:val="0"/>
      </w:rPr>
      <w:t xml:space="preserve">Page </w:t>
    </w:r>
    <w:fldSimple w:instr="PAGE" w:fldLock="0" w:dirty="0">
      <w:r w:rsidDel="00000000" w:rsidR="00000000" w:rsidRPr="00000000">
        <w:rPr>
          <w:rFonts w:ascii="Calibri" w:cs="Calibri" w:eastAsia="Calibri" w:hAnsi="Calibri"/>
          <w:b w:val="1"/>
          <w:sz w:val="24"/>
          <w:szCs w:val="24"/>
        </w:rPr>
      </w:r>
    </w:fldSimple>
    <w:r w:rsidDel="00000000" w:rsidR="00000000" w:rsidRPr="00000000">
      <w:rPr>
        <w:rFonts w:ascii="Calibri" w:cs="Calibri" w:eastAsia="Calibri" w:hAnsi="Calibri"/>
        <w:b w:val="0"/>
        <w:sz w:val="22"/>
        <w:szCs w:val="22"/>
        <w:rtl w:val="0"/>
      </w:rPr>
      <w:t xml:space="preserve"> of </w:t>
    </w:r>
    <w:fldSimple w:instr="NUMPAGES" w:fldLock="0" w:dirty="0">
      <w:r w:rsidDel="00000000" w:rsidR="00000000" w:rsidRPr="00000000">
        <w:rPr>
          <w:rFonts w:ascii="Calibri" w:cs="Calibri" w:eastAsia="Calibri" w:hAnsi="Calibri"/>
          <w:b w:val="1"/>
          <w:sz w:val="24"/>
          <w:szCs w:val="24"/>
        </w:rPr>
      </w:r>
    </w:fldSimple>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2">
    <w:lvl w:ilvl="0">
      <w:start w:val="1800"/>
      <w:numFmt w:val="bullet"/>
      <w:lvlText w:val="●"/>
      <w:lvlJc w:val="left"/>
      <w:pPr>
        <w:ind w:left="420" w:firstLine="60"/>
      </w:pPr>
      <w:rPr>
        <w:rFonts w:ascii="Arial" w:cs="Arial" w:eastAsia="Arial" w:hAnsi="Arial"/>
      </w:rPr>
    </w:lvl>
    <w:lvl w:ilvl="1">
      <w:start w:val="1"/>
      <w:numFmt w:val="bullet"/>
      <w:lvlText w:val="o"/>
      <w:lvlJc w:val="left"/>
      <w:pPr>
        <w:ind w:left="1140" w:firstLine="780"/>
      </w:pPr>
      <w:rPr>
        <w:rFonts w:ascii="Arial" w:cs="Arial" w:eastAsia="Arial" w:hAnsi="Arial"/>
      </w:rPr>
    </w:lvl>
    <w:lvl w:ilvl="2">
      <w:start w:val="1"/>
      <w:numFmt w:val="bullet"/>
      <w:lvlText w:val="▪"/>
      <w:lvlJc w:val="left"/>
      <w:pPr>
        <w:ind w:left="1860" w:firstLine="1500"/>
      </w:pPr>
      <w:rPr>
        <w:rFonts w:ascii="Arial" w:cs="Arial" w:eastAsia="Arial" w:hAnsi="Arial"/>
      </w:rPr>
    </w:lvl>
    <w:lvl w:ilvl="3">
      <w:start w:val="1"/>
      <w:numFmt w:val="bullet"/>
      <w:lvlText w:val="●"/>
      <w:lvlJc w:val="left"/>
      <w:pPr>
        <w:ind w:left="2580" w:firstLine="2220"/>
      </w:pPr>
      <w:rPr>
        <w:rFonts w:ascii="Arial" w:cs="Arial" w:eastAsia="Arial" w:hAnsi="Arial"/>
      </w:rPr>
    </w:lvl>
    <w:lvl w:ilvl="4">
      <w:start w:val="1"/>
      <w:numFmt w:val="bullet"/>
      <w:lvlText w:val="o"/>
      <w:lvlJc w:val="left"/>
      <w:pPr>
        <w:ind w:left="3300" w:firstLine="2940"/>
      </w:pPr>
      <w:rPr>
        <w:rFonts w:ascii="Arial" w:cs="Arial" w:eastAsia="Arial" w:hAnsi="Arial"/>
      </w:rPr>
    </w:lvl>
    <w:lvl w:ilvl="5">
      <w:start w:val="1"/>
      <w:numFmt w:val="bullet"/>
      <w:lvlText w:val="▪"/>
      <w:lvlJc w:val="left"/>
      <w:pPr>
        <w:ind w:left="4020" w:firstLine="3660"/>
      </w:pPr>
      <w:rPr>
        <w:rFonts w:ascii="Arial" w:cs="Arial" w:eastAsia="Arial" w:hAnsi="Arial"/>
      </w:rPr>
    </w:lvl>
    <w:lvl w:ilvl="6">
      <w:start w:val="1"/>
      <w:numFmt w:val="bullet"/>
      <w:lvlText w:val="●"/>
      <w:lvlJc w:val="left"/>
      <w:pPr>
        <w:ind w:left="4740" w:firstLine="4380"/>
      </w:pPr>
      <w:rPr>
        <w:rFonts w:ascii="Arial" w:cs="Arial" w:eastAsia="Arial" w:hAnsi="Arial"/>
      </w:rPr>
    </w:lvl>
    <w:lvl w:ilvl="7">
      <w:start w:val="1"/>
      <w:numFmt w:val="bullet"/>
      <w:lvlText w:val="o"/>
      <w:lvlJc w:val="left"/>
      <w:pPr>
        <w:ind w:left="5460" w:firstLine="5100"/>
      </w:pPr>
      <w:rPr>
        <w:rFonts w:ascii="Arial" w:cs="Arial" w:eastAsia="Arial" w:hAnsi="Arial"/>
      </w:rPr>
    </w:lvl>
    <w:lvl w:ilvl="8">
      <w:start w:val="1"/>
      <w:numFmt w:val="bullet"/>
      <w:lvlText w:val="▪"/>
      <w:lvlJc w:val="left"/>
      <w:pPr>
        <w:ind w:left="6180" w:firstLine="5820"/>
      </w:pPr>
      <w:rPr>
        <w:rFonts w:ascii="Arial" w:cs="Arial" w:eastAsia="Arial" w:hAnsi="Arial"/>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03.png"/><Relationship Id="rId10" Type="http://schemas.openxmlformats.org/officeDocument/2006/relationships/hyperlink" Target="http://www.esdnl.ca/aboutesd/policies/regulations.jsp?cat=I&amp;code=IL" TargetMode="External"/><Relationship Id="rId13" Type="http://schemas.openxmlformats.org/officeDocument/2006/relationships/hyperlink" Target="http://www.ed.gov.nl.ca/edu/k12/curriculum/guides/socialstudies/index.html#gr8" TargetMode="External"/><Relationship Id="rId12" Type="http://schemas.openxmlformats.org/officeDocument/2006/relationships/hyperlink" Target="http://www.ed.gov.nl.ca/edu/k12/curriculum/guides/socialstudies/index.html#gr8"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esdnl.ca/aboutesd/policies/regulations.jsp?cat=I&amp;code=IL" TargetMode="External"/><Relationship Id="rId15" Type="http://schemas.openxmlformats.org/officeDocument/2006/relationships/hyperlink" Target="http://www.ed.gov.nl.ca/edu/k12/curriculum/documents/socialstudies/social.pdf" TargetMode="External"/><Relationship Id="rId14" Type="http://schemas.openxmlformats.org/officeDocument/2006/relationships/hyperlink" Target="http://www.ed.gov.nl.ca/edu/k12/curriculum/guides/socialstudies/index.html#gr8" TargetMode="External"/><Relationship Id="rId17" Type="http://schemas.openxmlformats.org/officeDocument/2006/relationships/footer" Target="footer1.xml"/><Relationship Id="rId16" Type="http://schemas.openxmlformats.org/officeDocument/2006/relationships/hyperlink" Target="http://www.ed.gov.nl.ca/edu/k12/curriculum/documents/socialstudies/social.pdf" TargetMode="External"/><Relationship Id="rId5" Type="http://schemas.openxmlformats.org/officeDocument/2006/relationships/image" Target="media/image01.png"/><Relationship Id="rId6" Type="http://schemas.openxmlformats.org/officeDocument/2006/relationships/hyperlink" Target="http://www.esdnl.ca/about/policies/esd/I_IL.pdf" TargetMode="External"/><Relationship Id="rId7" Type="http://schemas.openxmlformats.org/officeDocument/2006/relationships/hyperlink" Target="http://www.esdnl.ca/aboutesd/policies/regulations.jsp?cat=I&amp;code=IL" TargetMode="External"/><Relationship Id="rId8" Type="http://schemas.openxmlformats.org/officeDocument/2006/relationships/hyperlink" Target="http://www.esdnl.ca/aboutesd/policies/regulations.jsp?cat=I&amp;code=IL" TargetMode="External"/></Relationships>
</file>